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b/>
          <w:sz w:val="32"/>
          <w:rFonts w:ascii="Georgia" w:hAnsi="Georgia"/>
        </w:rPr>
        <w:t xml:space="preserve">Taxa do Silêncio: quando a falta de voz fecha portas no mercado de trabalho</w:t>
      </w:r>
    </w:p>
    <w:p>
      <w:pPr>
        <w:spacing w:after="180"/>
      </w:pPr>
      <w:r>
        <w:rPr>
          <w:i/>
          <w:sz w:val="22"/>
          <w:rFonts w:ascii="Georgia" w:hAnsi="Georgia"/>
        </w:rPr>
        <w:t xml:space="preserve">De perdas salariais a promoções recusadas, dados comprovam que comunicação estratégica e segurança psicológica são diferenciais críticos para líderes e equipes.</w:t>
      </w:r>
    </w:p>
    <w:p>
      <w:pPr>
        <w:spacing w:after="180"/>
      </w:pPr>
      <w:r>
        <w:rPr>
          <w:sz w:val="22"/>
          <w:rFonts w:ascii="Georgia" w:hAnsi="Georgia"/>
        </w:rPr>
        <w:t xml:space="preserve">Falar bem não é luxo, é ativo estratégico. A comunicação — ou a falta dela — é um divisor silencioso entre carreiras que crescem e carreiras que estagnam. No mundo corporativo, onde performance e visibilidade contam tanto quanto resultados, existe um custo invisível que muitos ignoram: a “Taxa do Silêncio”.</w:t>
      </w:r>
    </w:p>
    <w:p>
      <w:pPr>
        <w:spacing w:after="180"/>
      </w:pPr>
      <w:r>
        <w:rPr>
          <w:sz w:val="22"/>
          <w:rFonts w:ascii="Georgia" w:hAnsi="Georgia"/>
        </w:rPr>
        <w:t xml:space="preserve">“Chamo de Taxa do Silêncio o preço pago toda vez que alguém deixa de se manifestar em uma reunião, recusa apresentar um projeto ou perde a chance de contribuir com uma ideia por medo do julgamento. Esse custo é alto e, muitas vezes, irreversível”, afirma Gaya Machado, mestre em Comunicação e cientista comportamental.</w:t>
      </w:r>
    </w:p>
    <w:p>
      <w:pPr>
        <w:spacing w:after="180"/>
      </w:pPr>
      <w:r>
        <w:rPr>
          <w:sz w:val="22"/>
          <w:rFonts w:ascii="Georgia" w:hAnsi="Georgia"/>
        </w:rPr>
        <w:t xml:space="preserve">Estudos recentes comprovam que esse impacto é mensurável. O relatório WorldMetrics 2024 aponta que 7% dos profissionais recusaram promoções por medo de falar em público e que 57% evitam situações de exposição a todo custo. Já o State of the Global Workplace, da Gallup, revela que o gestor responde por 70% da variação no engajamento de uma equipe — engajamento que só se sustenta em ambientes onde é seguro se expressar.</w:t>
      </w:r>
    </w:p>
    <w:p>
      <w:pPr>
        <w:spacing w:after="180"/>
      </w:pPr>
      <w:r>
        <w:rPr>
          <w:sz w:val="22"/>
          <w:rFonts w:ascii="Georgia" w:hAnsi="Georgia"/>
        </w:rPr>
        <w:t xml:space="preserve">“Não ocupar seu lugar de fala é também perder espaço e oportunidades. Mesmo quando a empresa oferece condições, se o profissional não se comunica, ele deixa de ser lembrado para projetos, promoções e funções estratégicas. Falar bem é, na prática, uma forma de estar presente quando as decisões são tomadas”, afirma Gaya Machado.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Liderança e influência: habilidades em ascensão</w:t>
      </w:r>
    </w:p>
    <w:p>
      <w:pPr>
        <w:spacing w:after="180"/>
      </w:pPr>
      <w:r>
        <w:rPr>
          <w:sz w:val="22"/>
          <w:rFonts w:ascii="Georgia" w:hAnsi="Georgia"/>
        </w:rPr>
        <w:t xml:space="preserve">O relatório Future of Jobs, do Fórum Econômico Mundial 2025, posiciona Liderança e Influência Social como a terceira competência mais importante para o mercado, considerada essencial por 61% das empresas — um crescimento de mais de 22 pontos percentuais em relação a 2023.</w:t>
      </w:r>
    </w:p>
    <w:p>
      <w:pPr>
        <w:spacing w:after="180"/>
      </w:pPr>
      <w:r>
        <w:rPr>
          <w:sz w:val="22"/>
          <w:rFonts w:ascii="Georgia" w:hAnsi="Georgia"/>
        </w:rPr>
        <w:t xml:space="preserve">“O recado é claro: quem comunica, influencia; quem influencia, lidera; e quem lidera, avança. A comunicação estratégica não é opcional para quem quer relevância e competitividade”, reforça Gaya. Essa tendência reflete uma mudança de prioridade nas empresas: investir em líderes capazes de gerar conexão, engajamento e mobilização de equipes. E isso não é algo que se desenvolve apenas em cargos de gestão formal — começa muito antes, no modo como cada profissional constrói sua presença e participa ativamente das discussões.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Quando o silêncio vence</w:t>
      </w:r>
    </w:p>
    <w:p>
      <w:pPr>
        <w:spacing w:after="180"/>
      </w:pPr>
      <w:r>
        <w:rPr>
          <w:sz w:val="22"/>
          <w:rFonts w:ascii="Georgia" w:hAnsi="Georgia"/>
        </w:rPr>
        <w:t xml:space="preserve">O medo de falar em público não é fraqueza: é biologia. “O cérebro humano foi programado para evitar a exclusão social. No passado, isso podia significar risco de vida. Hoje, esse mecanismo dispara o chamado sequestro da amígdala, elevando o cortisol e reduzindo a atividade do córtex pré-frontal — justamente a área responsável pela clareza mental e articulação. É por isso que, em momentos cruciais, muitas pessoas travam”, explica Gaya.</w:t>
      </w:r>
    </w:p>
    <w:p>
      <w:pPr>
        <w:spacing w:after="180"/>
      </w:pPr>
      <w:r>
        <w:rPr>
          <w:sz w:val="22"/>
          <w:rFonts w:ascii="Georgia" w:hAnsi="Georgia"/>
        </w:rPr>
        <w:t xml:space="preserve">Um estudo conduzido pelo Dr. Chris Macdonald, da Universidade de Cambridge, em 2025, mostra que a exposição gradual ao falar em público reduziu a ansiedade de 65% para 20% e elevou a autoconfiança de 31% para 79%, evidenciando que a habilidade é treinável.</w:t>
      </w:r>
    </w:p>
    <w:p>
      <w:pPr>
        <w:spacing w:after="180"/>
      </w:pPr>
      <w:r>
        <w:rPr>
          <w:sz w:val="22"/>
          <w:rFonts w:ascii="Georgia" w:hAnsi="Georgia"/>
        </w:rPr>
        <w:t xml:space="preserve">Mesmo quando o medo de falar parece intransponível, existem estratégias para superá-lo. Comunicar com clareza e confiança não é apenas vencer um desafio pessoal — é um diferencial competitivo que coloca o profissional em posição de destaque. “Quem domina a própria voz conquista mais espaço. Não é só sobre apresentações bem-feitas, é sobre influenciar decisões, inspirar pessoas e abrir caminhos que talvez não se abririam de outra forma”, ressalta Gaya Machado.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Três ações estratégicas para reduzir a Taxa do Silêncio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1. Estruture a experiência</w:t>
      </w:r>
    </w:p>
    <w:p>
      <w:pPr>
        <w:spacing w:after="180"/>
      </w:pPr>
      <w:r>
        <w:rPr>
          <w:sz w:val="22"/>
          <w:rFonts w:ascii="Georgia" w:hAnsi="Georgia"/>
        </w:rPr>
        <w:t xml:space="preserve">“As pessoas não se lembram de cada slide ou palavra da sua apresentação, elas se lembram de como se sentiram e de como você termina sua fala”, afirma Gaya. Isso é o que demonstra a Regra do Pico-Fim, conceito do psicólogo e vencedor do Nobel Daniel Kahneman: nossa memória de uma experiência é definida por seu momento mais intenso, o pico, e seu final. Como aplicar: escolha um dado surpreendente, uma história pessoal ou analogia forte como pico e finalize com uma mensagem clara e memorável.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2. Use o corpo para regular a mente</w:t>
      </w:r>
    </w:p>
    <w:p>
      <w:pPr>
        <w:spacing w:after="180"/>
      </w:pPr>
      <w:r>
        <w:rPr>
          <w:sz w:val="22"/>
          <w:rFonts w:ascii="Georgia" w:hAnsi="Georgia"/>
        </w:rPr>
        <w:t xml:space="preserve">“Pesquisas, incluindo o trabalho da psicóloga social Amy Cuddy, comprovam que sua postura não apenas comunica: ela regula suas emoções. Com pequenos ajustes no corpo antes de uma apresentação, você pode ganhar uma dose extra de confiança”, explica Gaya. Como aplicar: adote a postura de Vitória, com os braços abertos em V, ou de Mulher-Maravilha, com as mãos na cintura, respirando profundamente.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3. Reprograme seu diálogo interno</w:t>
      </w:r>
    </w:p>
    <w:p>
      <w:pPr>
        <w:spacing w:after="180"/>
      </w:pPr>
      <w:r>
        <w:rPr>
          <w:sz w:val="22"/>
          <w:rFonts w:ascii="Georgia" w:hAnsi="Georgia"/>
        </w:rPr>
        <w:t xml:space="preserve">“Você falaria com alguém de quem gosta da mesma forma que fala com você mesmo? Nossa mente pode ser o nosso maior aliado ou o nosso pior inimigo. O desafio é aprender a ajustar nosso diálogo interno”, alerta Gaya. De acordo com Ethan Kross, diretor do Laboratório de Emoção e Autocontrole da Universidade de Michigan, a chave não é silenciar essa voz, mas mudar a forma como falamos com nós mesmos. Como aplicar: substitua frases como “Eu não consigo” por “Você se preparou para isso e é capaz”. Essa mudança cria distância emocional e aumenta a clareza mental.</w:t>
      </w:r>
    </w:p>
    <w:p>
      <w:pPr>
        <w:spacing w:after="180"/>
      </w:pPr>
      <w:r>
        <w:rPr>
          <w:b/>
          <w:sz w:val="26"/>
          <w:rFonts w:ascii="Georgia" w:hAnsi="Georgia"/>
        </w:rPr>
        <w:t xml:space="preserve">Falar é investir no seu futuro</w:t>
      </w:r>
    </w:p>
    <w:p>
      <w:pPr>
        <w:spacing w:after="180"/>
      </w:pPr>
      <w:r>
        <w:rPr>
          <w:sz w:val="22"/>
          <w:rFonts w:ascii="Georgia" w:hAnsi="Georgia"/>
        </w:rPr>
        <w:t xml:space="preserve">“Comunicar é ocupar o seu lugar de fala no mundo. É o investimento mais estratégico que você pode fazer na sua carreira — e ninguém pode fazer isso por você”, conclui Gaya Machado. A Taxa do Silêncio não é apenas um problema das empresas. É uma barreira pessoal que bloqueia crescimento, inovação e reconhecimento. Reduzi-la é assumir protagonismo, abrir portas e construir autoridade.</w:t>
      </w:r>
    </w:p>
    <w:p>
      <w:pPr>
        <w:spacing w:after="180"/>
      </w:pPr>
      <w:r>
        <w:rPr>
          <w:sz w:val="22"/>
          <w:rFonts w:ascii="Georgia" w:hAnsi="Georgia"/>
        </w:rPr>
        <w:t xml:space="preserve"/>
      </w:r>
    </w:p>
    <w:p>
      <w:pPr>
        <w:spacing w:after="180"/>
      </w:pPr>
      <w:r>
        <w:rPr>
          <w:sz w:val="20"/>
          <w:rFonts w:ascii="Georgia" w:hAnsi="Georgia"/>
        </w:rPr>
        <w:t xml:space="preserve">The Flux House · Contato e solicitações de entrevista: fluxhouses.com/sala-de-imprensa</w:t>
      </w:r>
    </w:p>
    <w:sectPr/>
  </w:body>
</w:document>
</file>