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b/>
          <w:sz w:val="32"/>
          <w:rFonts w:ascii="Georgia" w:hAnsi="Georgia"/>
        </w:rPr>
        <w:t xml:space="preserve">Ansiedade ocupacional: quando a pressão no trabalho se transforma em adoecimento</w:t>
      </w:r>
    </w:p>
    <w:p>
      <w:pPr>
        <w:spacing w:after="180"/>
      </w:pPr>
      <w:r>
        <w:rPr>
          <w:i/>
          <w:sz w:val="22"/>
          <w:rFonts w:ascii="Georgia" w:hAnsi="Georgia"/>
        </w:rPr>
        <w:t xml:space="preserve">Quais são os diferentes tipos de ansiedade, o que desencadeia e de que forma as empresas podem atuar na prevenção, promovendo um ambiente de trabalho mais saudável</w:t>
      </w:r>
    </w:p>
    <w:p>
      <w:pPr>
        <w:spacing w:after="180"/>
      </w:pPr>
      <w:r>
        <w:rPr>
          <w:sz w:val="22"/>
          <w:rFonts w:ascii="Georgia" w:hAnsi="Georgia"/>
        </w:rPr>
        <w:t xml:space="preserve">A ansiedade é um dos fenômenos mais discutidos do mundo contemporâneo. Entretanto, ainda persiste dentro das empresas uma tendência de tratar a questão como uma disfunção individual, ignorando que, muitas vezes, ela é consequência direta da forma como o trabalho é organizado.</w:t>
      </w:r>
    </w:p>
    <w:p>
      <w:pPr>
        <w:spacing w:after="180"/>
      </w:pPr>
      <w:r>
        <w:rPr>
          <w:sz w:val="22"/>
          <w:rFonts w:ascii="Georgia" w:hAnsi="Georgia"/>
        </w:rPr>
        <w:t xml:space="preserve">Normalmente, a ansiedade é uma resposta natural do organismo diante de situações que exigem esforço, adaptação ou atenção. Em níveis adequados, ela é protetora: ajuda a focar, planejar e reagir. O problema começa quando a ansiedade se torna contínua, sem momentos de recuperação. A partir desse ponto, falamos de estresse crônico. Se ele continua sem intervenção, pode evoluir para burnout e, posteriormente, para quadros depressivos.</w:t>
      </w:r>
    </w:p>
    <w:p>
      <w:pPr>
        <w:spacing w:after="180"/>
      </w:pPr>
      <w:r>
        <w:rPr>
          <w:sz w:val="22"/>
          <w:rFonts w:ascii="Georgia" w:hAnsi="Georgia"/>
        </w:rPr>
        <w:t xml:space="preserve">“Distinguir a ansiedade pessoal da ocupacional é essencial para entender sua origem. A primeira aparece em diferentes contextos e persiste mesmo fora do ambiente profissional. Já a segunda está diretamente relacionada às condições de trabalho e tende a diminuir quando há afastamento das atividades profissionais”, esclarece o médico especialista em saúde ocupacional e CEO da Aventus Ocupacional, Dr. Marco Aurélio Bussacarini.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Os principais fatores psicossociais que geram ansiedade no trabalho</w:t>
      </w:r>
    </w:p>
    <w:p>
      <w:pPr>
        <w:spacing w:after="180"/>
      </w:pPr>
      <w:r>
        <w:rPr>
          <w:sz w:val="22"/>
          <w:rFonts w:ascii="Georgia" w:hAnsi="Georgia"/>
        </w:rPr>
        <w:t xml:space="preserve">Pesquisas internacionais como HSE-IT, COPSOQ e ISO 45003 e estudos nacionais alinhados à NR-01, como os conduzidos pela Unicamp sob coordenação do Prof. Dr. Sergio Roberto de Lucca, apontam de forma consistente que fatores organizacionais, quando desajustados, aumentam o risco de ansiedade e adoecimento.</w:t>
      </w:r>
    </w:p>
    <w:p>
      <w:pPr>
        <w:spacing w:after="180"/>
      </w:pPr>
      <w:r>
        <w:rPr>
          <w:sz w:val="22"/>
          <w:rFonts w:ascii="Georgia" w:hAnsi="Georgia"/>
        </w:rPr>
        <w:t xml:space="preserve">Segundo Dr. Marco Aurélio, a carga de trabalho e o ritmo acelerado representam um dos fatores psicossociais mais evidentes no desenvolvimento da ansiedade ocupacional. Quando o volume de tarefas excede a capacidade humana real de execução, o colaborador passa a operar em um estado permanente de pressão. Nesse contexto, a pessoa começa a sentir que nunca consegue alcançar o que é esperado, desenvolvendo antecipação ansiosa diante de cada novo dia de trabalho, até que a exaustão se instala.</w:t>
      </w:r>
    </w:p>
    <w:p>
      <w:pPr>
        <w:spacing w:after="180"/>
      </w:pPr>
      <w:r>
        <w:rPr>
          <w:sz w:val="22"/>
          <w:rFonts w:ascii="Georgia" w:hAnsi="Georgia"/>
        </w:rPr>
        <w:t xml:space="preserve">A falta de clareza de papéis é outro fator que atua silenciosamente. Quando o indivíduo não sabe com precisão o que se espera de seu desempenho, vive em um terreno de incerteza constante. Instruções vagas, prioridades que mudam sem aviso e responsabilidades pouco definidas geram um estado emocional marcado pela insegurança. Esse tipo de ambiente compromete a confiança em si mesmo e intensifica a ansiedade como uma resposta à sensação permanente de estar “em risco”.</w:t>
      </w:r>
    </w:p>
    <w:p>
      <w:pPr>
        <w:spacing w:after="180"/>
      </w:pPr>
      <w:r>
        <w:rPr>
          <w:sz w:val="22"/>
          <w:rFonts w:ascii="Georgia" w:hAnsi="Georgia"/>
        </w:rPr>
        <w:t xml:space="preserve">O estilo de liderança e o nível de suporte são determinantes no clima emocional do trabalho. Lideranças autoritárias, agressivas ou ausentes tendem a criar equipes que vivem em alerta. A ausência de feedback claro e construtivo, a cobrança sem orientação e a comunicação desrespeitosa alimentam um estado de hipervigilância emocional. Os colaboradores passam a monitorar constantemente seu comportamento para evitar conflitos, críticas ou punições, o que consome energia psíquica de forma intensa. A ansiedade deixa de ser episódica e se torna contínua.</w:t>
      </w:r>
    </w:p>
    <w:p>
      <w:pPr>
        <w:spacing w:after="180"/>
      </w:pPr>
      <w:r>
        <w:rPr>
          <w:sz w:val="22"/>
          <w:rFonts w:ascii="Georgia" w:hAnsi="Georgia"/>
        </w:rPr>
        <w:t xml:space="preserve">O clima social, as relações de trabalho, a baixa autonomia, a falta de reconhecimento e de sentido no trabalho também possuem grande impacto sobre a saúde emocional, e devem ser medidos em cada empresa. Por fim, a insegurança no emprego cria um estado de alerta permanente.</w:t>
      </w:r>
    </w:p>
    <w:p>
      <w:pPr>
        <w:spacing w:after="180"/>
      </w:pPr>
      <w:r>
        <w:rPr>
          <w:sz w:val="22"/>
          <w:rFonts w:ascii="Georgia" w:hAnsi="Georgia"/>
        </w:rPr>
        <w:t xml:space="preserve">A compreensão clara desses elementos é o primeiro passo para transformar o ambiente de trabalho em um espaço de saúde, não de adoecimento.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O papel da empresa na prevenção</w:t>
      </w:r>
    </w:p>
    <w:p>
      <w:pPr>
        <w:spacing w:after="180"/>
      </w:pPr>
      <w:r>
        <w:rPr>
          <w:sz w:val="22"/>
          <w:rFonts w:ascii="Georgia" w:hAnsi="Georgia"/>
        </w:rPr>
        <w:t xml:space="preserve">De acordo com o especialista, com a evolução da legislação brasileira (NR-01) e das diretrizes internacionais (ISO 45003), o debate se desloca: o foco não é apenas tratar indivíduos, mas intervir nos fatores psicossociais do ambiente.</w:t>
      </w:r>
    </w:p>
    <w:p>
      <w:pPr>
        <w:spacing w:after="180"/>
      </w:pPr>
      <w:r>
        <w:rPr>
          <w:sz w:val="22"/>
          <w:rFonts w:ascii="Georgia" w:hAnsi="Georgia"/>
        </w:rPr>
        <w:t xml:space="preserve">“O cuidado com a saúde mental não se resume ao indivíduo. O que define se um ambiente de trabalho é saudável é a forma como o negócio é estruturado, como os processos são desenhados, como as tarefas são distribuídas, como os líderes se relacionam com suas equipes e como as pessoas são acompanhadas ao longo do tempo”, esclarece Dr. Bussacarini.</w:t>
      </w:r>
    </w:p>
    <w:p>
      <w:pPr>
        <w:spacing w:after="180"/>
      </w:pPr>
      <w:r>
        <w:rPr>
          <w:sz w:val="22"/>
          <w:rFonts w:ascii="Georgia" w:hAnsi="Georgia"/>
        </w:rPr>
        <w:t xml:space="preserve">Quando líderes ajustam cargas, comunicam com clareza, reconhecem esforços e constroem relações de confiança, o trabalho deixa de ser ameaça e se torna fator de saúde.</w:t>
      </w:r>
    </w:p>
    <w:p>
      <w:pPr>
        <w:spacing w:after="180"/>
      </w:pPr>
      <w:r>
        <w:rPr>
          <w:sz w:val="22"/>
          <w:rFonts w:ascii="Georgia" w:hAnsi="Georgia"/>
        </w:rPr>
        <w:t xml:space="preserve">“Empresas que compreendem isso não apenas previnem adoecimento: elas retêm talentos, aumentam produtividade e constroem equipes emocionalmente sustentáveis”, finaliza.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Sobre Dr. Marco Aurélio Bussacarini</w:t>
      </w:r>
    </w:p>
    <w:p>
      <w:pPr>
        <w:spacing w:after="180"/>
      </w:pPr>
      <w:r>
        <w:rPr>
          <w:sz w:val="22"/>
          <w:rFonts w:ascii="Georgia" w:hAnsi="Georgia"/>
        </w:rPr>
        <w:t xml:space="preserve">Graduado em Medicina pela UNICAMP e especialista em Medicina Ocupacional pela USP, Marco Aurélio Bussacarini é médico, empreendedor e especialista em administração hospitalar e gestão de empresas, com histórico no setor público e no privado. Sua carreira inclui atuação como gestor de saúde no Ministério da Saúde e liderança em iniciativas no setor privado, incluindo a fundação e a direção de cooperativas médicas e de crédito. É autor do livro Fatores de Risco Psicossociais no Trabalho e fundador e CEO da Aventus Ocupacional.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Sobre a Aventus Ocupacional</w:t>
      </w:r>
    </w:p>
    <w:p>
      <w:pPr>
        <w:spacing w:after="180"/>
      </w:pPr>
      <w:r>
        <w:rPr>
          <w:sz w:val="22"/>
          <w:rFonts w:ascii="Georgia" w:hAnsi="Georgia"/>
        </w:rPr>
        <w:t xml:space="preserve">Pioneira no segmento B2B de Saúde e Segurança do Trabalho (SST), a Aventus Ocupacional tem 25 anos de mercado. A companhia se destaca pela integração completa entre medicina ocupacional e segurança do trabalho, atendendo clientes em setores como transporte, educação, alimentação, saúde e indústria. Na vanguarda da digitalização do atendimento SST, utiliza tecnologia de ponta, incluindo plataforma EAD para treinamentos online.</w:t>
      </w:r>
    </w:p>
    <w:p>
      <w:pPr>
        <w:spacing w:after="180"/>
      </w:pPr>
      <w:r>
        <w:rPr>
          <w:sz w:val="22"/>
          <w:rFonts w:ascii="Georgia" w:hAnsi="Georgia"/>
        </w:rPr>
        <w:t xml:space="preserve"/>
      </w:r>
    </w:p>
    <w:p>
      <w:pPr>
        <w:spacing w:after="180"/>
      </w:pPr>
      <w:r>
        <w:rPr>
          <w:sz w:val="20"/>
          <w:rFonts w:ascii="Georgia" w:hAnsi="Georgia"/>
        </w:rPr>
        <w:t xml:space="preserve">The Flux House · Contato e solicitações de entrevista: fluxhouses.com/sala-de-imprensa</w:t>
      </w:r>
    </w:p>
    <w:sectPr/>
  </w:body>
</w:document>
</file>